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33</w:t>
      </w:r>
    </w:p>
    <w:p>
      <w:r>
        <w:t>Bundesgericht (BGE), 1999-11-10, FR</w:t>
      </w:r>
    </w:p>
    <w:p>
      <w:r>
        <w:rPr>
          <w:b/>
        </w:rPr>
        <w:t xml:space="preserve">Quelle: </w:t>
      </w:r>
      <w:r>
        <w:t>https://mcp.opencaselaw.ch/entscheid/bge_126 I 33</w:t>
      </w:r>
    </w:p>
    <w:p>
      <w:r>
        <w:t>FR: ATF 126 I 33</w:t>
      </w:r>
    </w:p>
    <w:p>
      <w:r>
        <w:t>IT: DTF 126 I 33</w:t>
      </w:r>
    </w:p>
    <w:p>
      <w:pPr>
        <w:pStyle w:val="Heading2"/>
      </w:pPr>
      <w:r>
        <w:t>Regeste</w:t>
      </w:r>
    </w:p>
    <w:p>
      <w:r>
        <w:t>Regeste Art. 6 Ziff. 1 EMRK; Entlassung eines Polizeibeamten. Der Beschwerdeführer erfüllte eine wichtige Funktion in der Verwaltung, welche eine Beteiligung an der Ausübung der öffentlichen Gewalt umfasste; im Übrigen sind die angerufenen finanziellen, sozialen und persönlichen Aspekte nur Nebenpunkte zur Hauptforderung, die sich ausschliesslich auf die Beendigung des Dienstverhältnisses mit der kantonalen Verwaltung bezieht. Art. 6 EMRK ist somit nicht anwendbar (E. 2).</w:t>
      </w:r>
    </w:p>
    <w:p>
      <w:pPr>
        <w:pStyle w:val="Heading2"/>
      </w:pPr>
      <w:r>
        <w:t>Erwägungen</w:t>
      </w:r>
    </w:p>
    <w:p>
      <w:r>
        <w:rPr>
          <w:b/>
        </w:rPr>
        <w:t>E. 1</w:t>
      </w:r>
    </w:p>
    <w:p>
      <w:r>
        <w:t>Le recours est formé en temps utile contre un arrêt final rendu en dernière instance cantonale. Le recourant, dont la décision attaquée confirme la révocation pour justes motifs, a qualité pour agir ( art. 88 OJ ), car le droit cantonal (en l'espèce l'art. 45 al. 1 de la loi neuchâteloise sur le statut de la fonction publique) fait dépendre le licenciement de conditions matérielles (cf. ATF 120 Ia 110 consid. 1a p. 112).</w:t>
      </w:r>
    </w:p>
    <w:p>
      <w:r>
        <w:rPr>
          <w:b/>
        </w:rPr>
        <w:t>E. 2</w:t>
      </w:r>
    </w:p>
    <w:p>
      <w:r>
        <w:t>Le recourant se plaint en premier lieu d'une violation de l' art. 6 par. 1 CEDH (RS 0.101). La décision attaquée affecterait ses droits de caractère civil, de sorte qu'un contrôle judiciaire serait nécessaire. Or, la décision de première instance n'émanerait pas d'un tribunal, et le Tribunal administratif, auteur de la décision attaquée, n'aurait pas exercé un contrôle de toutes les questions de fait et de droit, car il aurait restreint son examen à l'abus ou à l'excès du pouvoir d'appréciation. Compte tenu du pouvoir d'examen du Tribunal fédéral saisi d'un recours de droit public, la violation alléguée ne pourrait pas être réparée à ce stade. a) 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tribunal exigé par cette disposition s'entend d'une autorité à caractère juridictionnel, dont l'impartialité et l'indépendance est assurée par des règles organiques. Cela n'empêche pas une autorité administrative de statuer sur la cause, pour autant qu'un recours soit possible auprès d'une juridiction disposant d'une pleine cognition en fait et en droit ( ATF 123 I 87 consid. 3a p. 90 et les arrêts cités). Le contrôle de l'opportunité n'est en revanche pas exigé ( ATF 120 Ia 19 consid. 4c p. 30). b) Point n'est besoin en l'espèce de rechercher si, compte tenu du pouvoir d'examen que s'est reconnu le Tribunal administratif, au demeurant très large, le contrôle opéré par cette juridiction était suffisant BGE 126 I 33 S. 35 au regard de l' art. 6 CEDH . En effet, il est admis de jurisprudence constante que les litiges concernant le recrutement, la carrière et la cessation d'activité des fonctionnaires ne portent pas "sur des droits et obligations de caractère civil" (CourEDH, arrêts Maillard c. France du 9 juin 1999, ch. 39, et Huber c. France du 19 février 1998, ch. 36). La jurisprudence fait exception à cette règle lorsqu'est en jeu la revendication d'un droit purement patrimonial (cf. par exemple CourEDH, arrêt Couez c. France du 24 août 1998, ch. 24 s.; ATF 125 I 313 consid. 4 p. 319 et les références citées). La jurisprudence récente de la Cour européenne des droits de l'homme tend à substituer au critère patrimonial un critère dit "fonctionnel", fondé sur la nature des fonctions exercées par l'agent, indépendamment de la qualification du rapport juridique de droit interne. Ainsi, les litiges des agents participant directement ou non à l'exercice de la puissance publique, en particulier dans l'armée et la police, ne sont pas soumis à l' art. 6 CEDH . En revanche, les litiges relatifs aux pensions relèvent de cette disposition, car une fois admis à la retraite, l'agent n'est plus lié à l'Etat par une relation de confiance particulière (CourEDH, arrêt Pellegrin c. France du 8 décembre 1999, ch. 59-67; arrêt non publié du 7 février 2000 dans la cause Polizei-Beamten-Verband der Stadt Zürich, consid. 2b). En l'espèce, quel que soit le critère adopté, le recourant ne saurait se prévaloir de l' art. 6 CEDH . Sa fonction importante au sein de l'administration cantonale impliquait une participation à l'exercice de la puissance publique. Par ailleurs, les aspects patrimoniaux, sociaux et personnels évoqués par le recourant ne sont qu'accessoires à la prétention principale, qui a trait exclusivement à la cessation des rapports de service. Le recourant ne peut donc invoquer l' art. 6 par. 1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